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835"/>
        <w:gridCol w:w="2757"/>
        <w:gridCol w:w="2010"/>
        <w:gridCol w:w="3233"/>
      </w:tblGrid>
      <w:tr>
        <w:trPr>
          <w:trHeight w:val="638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Característica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Categoría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 sin ponderar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Prevalencia (IC 95 %)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Total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30 825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14,2 % (13,5 % a 14,9 %)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Grupo de edad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15 a 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9 453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3,9 % (3,3 % a 4,6 %)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30 a 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11 261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9,5 % (8,6 % a 10,4 %)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45 a 59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5 400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20,9 % (19,0 % a 22,9 %)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 a más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4 711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29,8 % (27,6 % a 32,1 %)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Sexo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Hombre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13 026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18,3 % (17,2 % a 19,5 %)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Mujer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17 799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10,2 % (9,5 % a 11,1 %)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Área de residencia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Urbana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19 511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14,8 % (14,0 % a 15,7 %)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Rural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11 314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11,2 % (10,4 % a 12,0 %)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Región natural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Lima Metropolitana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3 371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16,5 % (14,9 % a 18,2 %)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Resto de la Costa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8 628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14,8 % (13,7 % a 16,0 %)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Sierra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11 175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12,1 % (11,2 % a 13,1 %)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Selva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7 651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9,8 % (9,0 % a 10,7 %)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Nivel educativo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Sin nivel o inicial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1 166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23,4 % (19,8 % a 27,5 %)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Primaria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6 568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19,3 % (17,7 % a 21,0 %)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Secundaria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14 037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12,0 % (11,0 % a 13,0 %)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Superior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9 054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13,7 % (12,4 % a 15,0 %)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Índice de riqueza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1 (más pobre)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10 494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10,9 % (10,0 % a 11,8 %)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7 665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11,8 % (10,7 % a 13,1 %)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5 607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14,0 % (12,6 % a 15,5 %)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4 226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16,3 % (14,6 % a 18,1 %)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Quintil 5 (más rico)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2 833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17,6 % (15,5 % a 19,9 %)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Fuma actualmente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27 966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13,9 % (13,2 % a 14,7 %)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Sí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2 858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16,5 % (14,5 % a 18,8 %)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Consumió alcohol en los últimos 30 días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20 622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14,0 % (13,2 % a 15,0 %)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Sí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10 189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14,4 % (13,2 % a 15,6 %)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Diabetes diagnosticada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No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29 700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13,4 % (12,8 % a 14,1 %)</w:t>
            </w:r>
          </w:p>
        </w:tc>
      </w:tr>
      <w:tr>
        <w:trPr>
          <w:trHeight w:val="623" w:hRule="auto"/>
        </w:trPr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Sí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1 099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DejaVu Sans" w:hAnsi="DejaVu Sans" w:eastAsia="DejaVu Sans" w:cs="DejaVu Sans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27,0 % (22,6 % a 31,9 %)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2026-10-15T17:38:17Z</dcterms:modified>
  <cp:category/>
</cp:coreProperties>
</file>