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835"/>
        <w:gridCol w:w="2191"/>
        <w:gridCol w:w="3497"/>
        <w:gridCol w:w="3575"/>
        <w:gridCol w:w="1286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Característica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Global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30 825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Sin presión arterial alta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27 491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Con presión arterial alta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3 334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p-valor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Edad (años)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36 (28 – 50)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35 (27 – 47)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54 (40 – 67)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Grupo de edad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 a 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9 453 (30,7 %)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9 182 (33,4 %)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271 (8,1 %)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30 a 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11 261 (36,5 %)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10 423 (37,9 %)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838 (25,1 %)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a 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5 400 (17,5 %)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4 482 (16,3 %)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918 (27,5 %)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a más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4 711 (15,3 %)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3 404 (12,4 %)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1 307 (39,2 %)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Hombre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13 026 (42,3 %)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11 048 (40,2 %)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1 978 (59,3 %)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Mujer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17 799 (57,7 %)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16 443 (59,8 %)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1 356 (40,7 %)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Área de residencia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0,019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Urbana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19 511 (63,3 %)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17 339 (63,1 %)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2 172 (65,1 %)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11 314 (36,7 %)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10 152 (36,9 %)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1 162 (34,9 %)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Región natural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Lima Metropolitana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3 371 (10,9 %)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2 882 (10,5 %)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489 (14,7 %)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Resto de la Costa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8 628 (28,0 %)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7 581 (27,6 %)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1 047 (31,4 %)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Sierra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11 175 (36,3 %)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10 017 (36,4 %)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1 158 (34,7 %)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Selva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7 651 (24,8 %)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7 011 (25,5 %)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640 (19,2 %)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Nivel educativo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nivel o inicial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1 166 (3,8 %)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900 (3,3 %)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266 (8,0 %)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Primaria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6 568 (21,3 %)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5 588 (20,3 %)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980 (29,4 %)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Secundaria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14 037 (45,5 %)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12 850 (46,7 %)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1 187 (35,6 %)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Superior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9 054 (29,4 %)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8 153 (29,7 %)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901 (27,0 %)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Índice de riqueza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1 (más pobre)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10 494 (34,0 %)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9 490 (34,5 %)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1 004 (30,1 %)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7 665 (24,9 %)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6 940 (25,2 %)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725 (21,7 %)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5 607 (18,2 %)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4 972 (18,1 %)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635 (19,0 %)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4 226 (13,7 %)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3 674 (13,4 %)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552 (16,6 %)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5 (más rico)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2 833 (9,2 %)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2 415 (8,8 %)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418 (12,5 %)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Fuma actualmente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2 858 (9,3 %)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2 424 (8,8 %)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434 (13,0 %)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Consumió alcohol en los últimos 30 días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10 189 (33,1 %)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8 985 (32,7 %)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1 204 (36,1 %)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 diagnosticada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1 099 (3,6 %)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830 (3,0 %)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269 (8,1 %)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gridSpan w:val="5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Mediana (Q1 – Q3); n (%)</w:t>
            </w:r>
          </w:p>
        </w:tc>
      </w:tr>
      <w:tr>
        <w:trPr>
          <w:trHeight w:val="360" w:hRule="auto"/>
        </w:trPr>
        <w:tc>
          <w:tcPr>
            <w:gridSpan w:val="5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2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Prueba de la suma de rangos de Wilcoxon; prueba chi cuadrado de independencia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2026-10-15T17:37:06Z</dcterms:modified>
  <cp:category/>
</cp:coreProperties>
</file>